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9A" w:rsidRDefault="00C5319A"/>
    <w:p w:rsidR="004558C1" w:rsidRPr="004558C1" w:rsidRDefault="004558C1">
      <w:pPr>
        <w:rPr>
          <w:b/>
          <w:bCs/>
        </w:rPr>
      </w:pPr>
      <w:r w:rsidRPr="004558C1">
        <w:rPr>
          <w:b/>
          <w:bCs/>
        </w:rPr>
        <w:t>BIOL 2510 Learning Objectives 5CD</w:t>
      </w:r>
    </w:p>
    <w:p w:rsidR="004558C1" w:rsidRDefault="004558C1"/>
    <w:p w:rsidR="004558C1" w:rsidRDefault="004558C1" w:rsidP="004558C1">
      <w:pPr>
        <w:rPr>
          <w:b/>
          <w:bCs/>
        </w:rPr>
      </w:pPr>
      <w:r w:rsidRPr="59FE0510">
        <w:rPr>
          <w:b/>
          <w:bCs/>
        </w:rPr>
        <w:t>Lecture 5C</w:t>
      </w:r>
    </w:p>
    <w:p w:rsidR="004558C1" w:rsidRDefault="00100028" w:rsidP="004558C1">
      <w:pPr>
        <w:pStyle w:val="ListParagraph"/>
        <w:numPr>
          <w:ilvl w:val="0"/>
          <w:numId w:val="1"/>
        </w:numPr>
      </w:pPr>
      <w:r w:rsidRPr="00100028">
        <w:rPr>
          <w:b/>
        </w:rPr>
        <w:t>Contrast</w:t>
      </w:r>
      <w:r w:rsidR="004558C1">
        <w:t xml:space="preserve"> </w:t>
      </w:r>
      <w:r>
        <w:t>the four degrees of burn injury with respect to appearance of the injury and the layers and structures of the skin damaged.</w:t>
      </w:r>
    </w:p>
    <w:p w:rsidR="004558C1" w:rsidRDefault="00B26A3C" w:rsidP="004558C1">
      <w:pPr>
        <w:pStyle w:val="ListParagraph"/>
        <w:numPr>
          <w:ilvl w:val="0"/>
          <w:numId w:val="1"/>
        </w:numPr>
      </w:pPr>
      <w:r>
        <w:t>Compare</w:t>
      </w:r>
      <w:r w:rsidR="004558C1">
        <w:t xml:space="preserve"> the </w:t>
      </w:r>
      <w:r>
        <w:t xml:space="preserve">use of the </w:t>
      </w:r>
      <w:r w:rsidR="004558C1">
        <w:t xml:space="preserve">Rule of Nines and the Lund Browder chart to calculate the </w:t>
      </w:r>
      <w:proofErr w:type="gramStart"/>
      <w:r w:rsidR="004558C1">
        <w:t>%TBSA</w:t>
      </w:r>
      <w:proofErr w:type="gramEnd"/>
      <w:r w:rsidR="004558C1">
        <w:t xml:space="preserve"> affected by a burn.</w:t>
      </w:r>
      <w:r w:rsidR="00100028">
        <w:t xml:space="preserve"> Use the example of a serious burn to one entire lower extremity.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Define the</w:t>
      </w:r>
      <w:r w:rsidR="00F0408A">
        <w:t xml:space="preserve"> specific</w:t>
      </w:r>
      <w:r>
        <w:t xml:space="preserve"> clinical definition of a major burn.</w:t>
      </w:r>
    </w:p>
    <w:p w:rsidR="004558C1" w:rsidRDefault="00F0408A" w:rsidP="004558C1">
      <w:pPr>
        <w:pStyle w:val="ListParagraph"/>
        <w:numPr>
          <w:ilvl w:val="0"/>
          <w:numId w:val="1"/>
        </w:numPr>
      </w:pPr>
      <w:r>
        <w:t xml:space="preserve">Explain how ion pump failure leads </w:t>
      </w:r>
      <w:r w:rsidR="004558C1">
        <w:t xml:space="preserve">to </w:t>
      </w:r>
      <w:r>
        <w:t>“</w:t>
      </w:r>
      <w:r w:rsidR="004558C1">
        <w:t>sick cell syndrome</w:t>
      </w:r>
      <w:r>
        <w:t>”</w:t>
      </w:r>
      <w:r w:rsidR="004558C1">
        <w:t xml:space="preserve"> in burn injury.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Describe the etiology and pathogenesis of capillary leak syndrome and burn shock.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 xml:space="preserve">Use the Parkland formula to determine the proper amount and schedule of fluid resuscitation in the case of a </w:t>
      </w:r>
      <w:r w:rsidR="00B26A3C">
        <w:t xml:space="preserve">serious </w:t>
      </w:r>
      <w:r>
        <w:t>burn injury.</w:t>
      </w:r>
      <w:r w:rsidR="00B26A3C">
        <w:t xml:space="preserve"> Use the example of a 60 kg patient with a 40% TBSA burn.</w:t>
      </w:r>
    </w:p>
    <w:p w:rsidR="00B26A3C" w:rsidRDefault="00B26A3C" w:rsidP="004558C1">
      <w:pPr>
        <w:pStyle w:val="ListParagraph"/>
        <w:numPr>
          <w:ilvl w:val="0"/>
          <w:numId w:val="1"/>
        </w:numPr>
      </w:pPr>
      <w:r>
        <w:t xml:space="preserve">List the </w:t>
      </w:r>
      <w:r w:rsidR="000E6FCC">
        <w:t xml:space="preserve">three </w:t>
      </w:r>
      <w:r>
        <w:t>components of phase 2 burn care (</w:t>
      </w:r>
      <w:r w:rsidR="000E6FCC">
        <w:t>patient care after burn shock subsides).</w:t>
      </w:r>
    </w:p>
    <w:p w:rsidR="004558C1" w:rsidRDefault="00F0408A" w:rsidP="004558C1">
      <w:pPr>
        <w:pStyle w:val="ListParagraph"/>
        <w:numPr>
          <w:ilvl w:val="0"/>
          <w:numId w:val="1"/>
        </w:numPr>
      </w:pPr>
      <w:r>
        <w:t>Explain why evaporation of body fluid from a burn site causes loss of body heat loss.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Describe the etiology, pathogenesis and treatment of the hypermetabolic state associated with burn injury.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Explain why the hypermetabolic state causes the body to lose nitrogen.</w:t>
      </w:r>
    </w:p>
    <w:p w:rsidR="004558C1" w:rsidRDefault="00B26A3C" w:rsidP="004558C1">
      <w:pPr>
        <w:pStyle w:val="ListParagraph"/>
        <w:numPr>
          <w:ilvl w:val="0"/>
          <w:numId w:val="1"/>
        </w:numPr>
      </w:pPr>
      <w:r>
        <w:t>Describe</w:t>
      </w:r>
      <w:r w:rsidR="004558C1">
        <w:t xml:space="preserve"> the </w:t>
      </w:r>
      <w:r>
        <w:t xml:space="preserve">nutritional </w:t>
      </w:r>
      <w:r w:rsidR="004558C1">
        <w:t>treatment of the negative nitrogen balance that occurs in severe burn injuries.</w:t>
      </w:r>
    </w:p>
    <w:p w:rsidR="004558C1" w:rsidRDefault="00F0408A" w:rsidP="004558C1">
      <w:pPr>
        <w:pStyle w:val="ListParagraph"/>
        <w:numPr>
          <w:ilvl w:val="0"/>
          <w:numId w:val="1"/>
        </w:numPr>
      </w:pPr>
      <w:r>
        <w:t>Provide two reasons why burn injury (burn shock) leads to metabolic acidosis</w:t>
      </w:r>
      <w:r w:rsidR="004558C1">
        <w:t>.</w:t>
      </w:r>
    </w:p>
    <w:p w:rsidR="004558C1" w:rsidRDefault="004558C1" w:rsidP="004558C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Describe the consequences of serious burn injury for the cardiovascul</w:t>
      </w:r>
      <w:r w:rsidR="00B26A3C">
        <w:t>ar, respiratory, urinary</w:t>
      </w:r>
      <w:r>
        <w:t xml:space="preserve"> and immune systems.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Describe the processes of skin grafting and wound healing associated with severe burn injury.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 xml:space="preserve">Explain the complications of contractures and </w:t>
      </w:r>
      <w:proofErr w:type="spellStart"/>
      <w:r>
        <w:t>ectropion</w:t>
      </w:r>
      <w:proofErr w:type="spellEnd"/>
      <w:r>
        <w:t xml:space="preserve"> that may occur following burn injury.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Explain why elec</w:t>
      </w:r>
      <w:r w:rsidR="00F0408A">
        <w:t>trical injury does little damage to the skin but does serious damage to deeper tissues.</w:t>
      </w:r>
    </w:p>
    <w:p w:rsidR="004558C1" w:rsidRDefault="00F0408A" w:rsidP="004558C1">
      <w:pPr>
        <w:pStyle w:val="ListParagraph"/>
        <w:numPr>
          <w:ilvl w:val="0"/>
          <w:numId w:val="1"/>
        </w:numPr>
      </w:pPr>
      <w:r>
        <w:t>Explain why r</w:t>
      </w:r>
      <w:r w:rsidR="004558C1">
        <w:t xml:space="preserve">habdomyolysis and </w:t>
      </w:r>
      <w:proofErr w:type="spellStart"/>
      <w:r w:rsidR="004558C1">
        <w:t>myoglobinuria</w:t>
      </w:r>
      <w:proofErr w:type="spellEnd"/>
      <w:r w:rsidR="004558C1">
        <w:t xml:space="preserve"> </w:t>
      </w:r>
      <w:r>
        <w:t xml:space="preserve">occur </w:t>
      </w:r>
      <w:r w:rsidR="004558C1">
        <w:t>in electrical injury.</w:t>
      </w:r>
    </w:p>
    <w:p w:rsidR="004558C1" w:rsidRDefault="00C875B7" w:rsidP="004558C1">
      <w:pPr>
        <w:pStyle w:val="ListParagraph"/>
        <w:numPr>
          <w:ilvl w:val="0"/>
          <w:numId w:val="1"/>
        </w:numPr>
      </w:pPr>
      <w:r>
        <w:t xml:space="preserve">Explain why </w:t>
      </w:r>
      <w:proofErr w:type="spellStart"/>
      <w:r>
        <w:t>myoglobinuria</w:t>
      </w:r>
      <w:proofErr w:type="spellEnd"/>
      <w:r>
        <w:t xml:space="preserve"> damages the kidneys and describe</w:t>
      </w:r>
      <w:r w:rsidR="004558C1">
        <w:t xml:space="preserve"> the treatment for </w:t>
      </w:r>
      <w:proofErr w:type="spellStart"/>
      <w:r w:rsidR="004558C1">
        <w:t>myoglobinuria</w:t>
      </w:r>
      <w:proofErr w:type="spellEnd"/>
      <w:r w:rsidR="004558C1">
        <w:t>.</w:t>
      </w:r>
    </w:p>
    <w:p w:rsidR="004558C1" w:rsidRDefault="004558C1" w:rsidP="004558C1">
      <w:pPr>
        <w:rPr>
          <w:b/>
          <w:bCs/>
        </w:rPr>
      </w:pPr>
      <w:r w:rsidRPr="59FE0510">
        <w:rPr>
          <w:b/>
          <w:bCs/>
        </w:rPr>
        <w:t>Lecture 5D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Categorize soft tissues as contractile or non-contractile (inert).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Describe the structure and function of the layers of a joint capsule.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 w:rsidRPr="004825C9">
        <w:rPr>
          <w:b/>
        </w:rPr>
        <w:t>Contrast</w:t>
      </w:r>
      <w:r>
        <w:t xml:space="preserve"> injuries to inert soft tissues with resp</w:t>
      </w:r>
      <w:r w:rsidR="00C875B7">
        <w:t xml:space="preserve">ect to etiology </w:t>
      </w:r>
      <w:r>
        <w:t>and common locations: sprain, joint capsule injury, fasciitis, bursitis and herniated discs.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 w:rsidRPr="004825C9">
        <w:rPr>
          <w:b/>
        </w:rPr>
        <w:t>Contrast</w:t>
      </w:r>
      <w:r>
        <w:t xml:space="preserve"> injuries to contractile soft tissues with respect to etiology and common locations: tendonitis, tendon strains, muscle strains, and myositis </w:t>
      </w:r>
      <w:proofErr w:type="spellStart"/>
      <w:r>
        <w:t>ossificans</w:t>
      </w:r>
      <w:proofErr w:type="spellEnd"/>
      <w:r>
        <w:t>.</w:t>
      </w:r>
      <w:bookmarkStart w:id="0" w:name="_GoBack"/>
      <w:bookmarkEnd w:id="0"/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 xml:space="preserve">Describe the </w:t>
      </w:r>
      <w:r w:rsidR="00C875B7">
        <w:t xml:space="preserve">three </w:t>
      </w:r>
      <w:r>
        <w:t>possible causes of compartment syndrome and its treatment.</w:t>
      </w:r>
    </w:p>
    <w:p w:rsidR="004558C1" w:rsidRDefault="00C875B7" w:rsidP="004558C1">
      <w:pPr>
        <w:pStyle w:val="ListParagraph"/>
        <w:numPr>
          <w:ilvl w:val="0"/>
          <w:numId w:val="1"/>
        </w:numPr>
      </w:pPr>
      <w:r>
        <w:t>List and describe</w:t>
      </w:r>
      <w:r w:rsidR="004558C1">
        <w:t xml:space="preserve"> the steps in the healing process for soft tissue injury.</w:t>
      </w:r>
    </w:p>
    <w:p w:rsidR="004558C1" w:rsidRDefault="00C875B7" w:rsidP="004558C1">
      <w:pPr>
        <w:pStyle w:val="ListParagraph"/>
        <w:numPr>
          <w:ilvl w:val="0"/>
          <w:numId w:val="1"/>
        </w:numPr>
      </w:pPr>
      <w:r>
        <w:t xml:space="preserve">How do the steps in the healing process of soft tissue injuries vary between a small clean wound (healing by primary intention) and a large dirty wound (healing by secondary intention)? 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 xml:space="preserve">Distinguish between compact and cancellous bone with respect to their ability to resist compression and </w:t>
      </w:r>
      <w:r w:rsidR="00C875B7">
        <w:t xml:space="preserve">their ability to resist </w:t>
      </w:r>
      <w:r>
        <w:t>pulling forces.</w:t>
      </w:r>
    </w:p>
    <w:p w:rsidR="004558C1" w:rsidRDefault="00B26A3C" w:rsidP="004558C1">
      <w:pPr>
        <w:pStyle w:val="ListParagraph"/>
        <w:numPr>
          <w:ilvl w:val="0"/>
          <w:numId w:val="1"/>
        </w:numPr>
      </w:pPr>
      <w:r>
        <w:t>Describe types of age-related bone fracture: epiphyseal plate fracture, buckle (torus) fracture, greenstick fracture, compression fracture.</w:t>
      </w:r>
    </w:p>
    <w:p w:rsidR="004558C1" w:rsidRDefault="00B26A3C" w:rsidP="004558C1">
      <w:pPr>
        <w:pStyle w:val="ListParagraph"/>
        <w:numPr>
          <w:ilvl w:val="0"/>
          <w:numId w:val="1"/>
        </w:numPr>
      </w:pPr>
      <w:r>
        <w:t>Compare</w:t>
      </w:r>
      <w:r w:rsidR="004558C1">
        <w:t xml:space="preserve"> the heal</w:t>
      </w:r>
      <w:r w:rsidR="00C875B7">
        <w:t>ing process in compact bone with the healing process in c</w:t>
      </w:r>
      <w:r w:rsidR="004558C1">
        <w:t>ancellous bone.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Describe the</w:t>
      </w:r>
      <w:r w:rsidR="00C875B7">
        <w:t>se</w:t>
      </w:r>
      <w:r>
        <w:t xml:space="preserve"> complications of bone fracture: delayed healing, osteonecrosis, osteomyelitis, fat emboli syndrome and deep vein thrombosis.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Describe the possible effects of bone fracture on associated soft tissue: joint dislocation, joint subluxation.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Describe the etiology and pathogenesis of osteomyelitis</w:t>
      </w:r>
      <w:r w:rsidR="00C875B7">
        <w:t xml:space="preserve"> including the definition of a sequestrum and an </w:t>
      </w:r>
      <w:proofErr w:type="spellStart"/>
      <w:r w:rsidR="00C875B7">
        <w:t>involucrum</w:t>
      </w:r>
      <w:proofErr w:type="spellEnd"/>
      <w:r>
        <w:t>.</w:t>
      </w:r>
    </w:p>
    <w:p w:rsidR="004558C1" w:rsidRDefault="004558C1" w:rsidP="004558C1">
      <w:pPr>
        <w:pStyle w:val="ListParagraph"/>
        <w:numPr>
          <w:ilvl w:val="0"/>
          <w:numId w:val="1"/>
        </w:numPr>
      </w:pPr>
      <w:r>
        <w:t>Describe the etiology of tuberculosis of the bone and Pott's disease.</w:t>
      </w:r>
    </w:p>
    <w:p w:rsidR="004558C1" w:rsidRDefault="004558C1"/>
    <w:sectPr w:rsidR="004558C1" w:rsidSect="00455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26196"/>
    <w:multiLevelType w:val="hybridMultilevel"/>
    <w:tmpl w:val="07EC4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C1"/>
    <w:rsid w:val="000E6FCC"/>
    <w:rsid w:val="00100028"/>
    <w:rsid w:val="004558C1"/>
    <w:rsid w:val="00B26A3C"/>
    <w:rsid w:val="00C5319A"/>
    <w:rsid w:val="00C875B7"/>
    <w:rsid w:val="00F0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4557"/>
  <w15:chartTrackingRefBased/>
  <w15:docId w15:val="{56F7DD36-0AF6-4C9D-BF1F-671E945B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8C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4</cp:revision>
  <dcterms:created xsi:type="dcterms:W3CDTF">2020-09-22T19:33:00Z</dcterms:created>
  <dcterms:modified xsi:type="dcterms:W3CDTF">2020-11-07T17:42:00Z</dcterms:modified>
</cp:coreProperties>
</file>